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Ztráty a nálezy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Evidence nálezců a majitelů nalezených věcí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Zákon o obcích,</w:t>
            </w:r>
            <w:r>
              <w:rPr>
                <w:rFonts w:cs="Arial"/>
              </w:rPr>
              <w:t xml:space="preserve"> 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nálezci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trvalé bydliště, místo pobytu, telefon, podpis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Ztráty a nálezy S/3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  <w:t>Vše v uzamykatelné registrační skříni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  <w:t>Word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paragraph" w:styleId="LOnormal">
    <w:name w:val="LO-normal"/>
    <w:qFormat/>
    <w:pPr>
      <w:widowControl/>
      <w:bidi w:val="0"/>
      <w:jc w:val="left"/>
    </w:pPr>
    <w:rPr>
      <w:rFonts w:ascii="Arial" w:hAnsi="Arial" w:eastAsia="Arial" w:cs="Arial"/>
      <w:color w:val="434343"/>
      <w:kern w:val="0"/>
      <w:sz w:val="22"/>
      <w:szCs w:val="22"/>
      <w:lang w:val="cs-CZ" w:eastAsia="cs-CZ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117</Words>
  <Characters>708</Characters>
  <CharactersWithSpaces>810</CharactersWithSpaces>
  <Paragraphs>18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2018-05-27T20:49:18Z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