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Krizové situace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Zabezpečení krizového plánování – evidence kontaktů rizikového štábu, účast na řešení krizových situací v obci (živelné pohromy apod.)</w:t>
            </w:r>
          </w:p>
          <w:p>
            <w:pPr>
              <w:pStyle w:val="Normal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Výzvy k odstranění protipovodňových překážek - ustanovení § 72 odst. 3) zákona č. 254/2001 Sb., o vodách a o změně některých zákonů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spacing w:lineRule="auto" w:line="276" w:before="200" w:after="120"/>
              <w:contextualSpacing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240/2000 Sb., - Krizový zákon,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Členů krizového štábu a povodňové komise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Vlastníci nemovitostí v územích ohrožených povodní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  <w:lang w:eastAsia="cs-CZ"/>
              </w:rPr>
              <w:t>Jméno, příjmení, trvalé bydliště, email, telefon, fax, podpis,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Nezpřístupňují se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  <w:lang w:eastAsia="cs-CZ"/>
              </w:rPr>
              <w:t>Organizace krizového řízení (bezpečnostní rada, krizový štáb) A/5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Výstup v papírové podobě, většinou jeden spis pro více subjektů za celý rok, uloženo v PC a ve společném šanonu pro konkrétní spis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CUZK – kontrola parcel a vlastníků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186</Words>
  <Characters>1107</Characters>
  <CharactersWithSpaces>1276</CharactersWithSpaces>
  <Paragraphs>21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2018-05-27T17:44:58Z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