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pStyle w:val="Title"/>
        <w:contextualSpacing w:val="0"/>
        <w:rPr/>
      </w:pPr>
      <w:bookmarkStart w:colFirst="0" w:colLast="0" w:name="_j3vslqp1b29v" w:id="0"/>
      <w:bookmarkEnd w:id="0"/>
      <w:r w:rsidDel="00000000" w:rsidR="00000000" w:rsidRPr="00000000">
        <w:rPr>
          <w:rtl w:val="0"/>
        </w:rPr>
        <w:t xml:space="preserve">Informační povinnost správce </w:t>
        <w:br w:type="textWrapping"/>
        <w:t xml:space="preserve">vůči subjektu údajů</w:t>
      </w:r>
    </w:p>
    <w:p w:rsidR="00000000" w:rsidDel="00000000" w:rsidP="00000000" w:rsidRDefault="00000000" w:rsidRPr="00000000" w14:paraId="00000001">
      <w:pPr>
        <w:pStyle w:val="Heading1"/>
        <w:contextualSpacing w:val="0"/>
        <w:rPr/>
      </w:pPr>
      <w:bookmarkStart w:colFirst="0" w:colLast="0" w:name="_fxek13m6r92o" w:id="1"/>
      <w:bookmarkEnd w:id="1"/>
      <w:r w:rsidDel="00000000" w:rsidR="00000000" w:rsidRPr="00000000">
        <w:rPr>
          <w:rtl w:val="0"/>
        </w:rPr>
        <w:t xml:space="preserve">Povinně zveřejňované informace</w:t>
      </w:r>
    </w:p>
    <w:p w:rsidR="00000000" w:rsidDel="00000000" w:rsidP="00000000" w:rsidRDefault="00000000" w:rsidRPr="00000000" w14:paraId="00000002">
      <w:pPr>
        <w:contextualSpacing w:val="0"/>
        <w:rPr/>
      </w:pPr>
      <w:r w:rsidDel="00000000" w:rsidR="00000000" w:rsidRPr="00000000">
        <w:rPr>
          <w:rtl w:val="0"/>
        </w:rPr>
        <w:t xml:space="preserve">GDPR obsahuje podrobnou úpravu povinně zveřejňovaných informací. V podstatě se informační povinnost soustřeďuje jednak na informace o Správci, jednak na základní stavy v "životním běhu" zpracování osobních údajů daného Subjektu údajů Správcem – tedy na získání osobních údajů, výkon práv Subjektu údajů, ukončení zpracování a likvidaci osobních údajů.</w:t>
      </w:r>
    </w:p>
    <w:p w:rsidR="00000000" w:rsidDel="00000000" w:rsidP="00000000" w:rsidRDefault="00000000" w:rsidRPr="00000000" w14:paraId="00000003">
      <w:pPr>
        <w:pStyle w:val="Heading2"/>
        <w:contextualSpacing w:val="0"/>
        <w:rPr/>
      </w:pPr>
      <w:bookmarkStart w:colFirst="0" w:colLast="0" w:name="_h9bg0ra0nr7t" w:id="2"/>
      <w:bookmarkEnd w:id="2"/>
      <w:r w:rsidDel="00000000" w:rsidR="00000000" w:rsidRPr="00000000">
        <w:rPr>
          <w:rtl w:val="0"/>
        </w:rPr>
        <w:t xml:space="preserve">Zpřístupnění informací na internetových stránkách</w:t>
      </w:r>
    </w:p>
    <w:p w:rsidR="00000000" w:rsidDel="00000000" w:rsidP="00000000" w:rsidRDefault="00000000" w:rsidRPr="00000000" w14:paraId="00000004">
      <w:pPr>
        <w:contextualSpacing w:val="0"/>
        <w:rPr/>
      </w:pPr>
      <w:r w:rsidDel="00000000" w:rsidR="00000000" w:rsidRPr="00000000">
        <w:rPr>
          <w:rtl w:val="0"/>
        </w:rPr>
        <w:t xml:space="preserve">V případě, že Správce provozuje internetové stránky, doporučuje se zpřístupnit povinně poskytované informace na nich, a to tak, aby je mohl Subjekt údajů snadno vyhledat, aby byly odlišeny od ostatních informací, a aby byly srozumitelné.</w:t>
      </w:r>
    </w:p>
    <w:p w:rsidR="00000000" w:rsidDel="00000000" w:rsidP="00000000" w:rsidRDefault="00000000" w:rsidRPr="00000000" w14:paraId="00000005">
      <w:pPr>
        <w:contextualSpacing w:val="0"/>
        <w:rPr/>
      </w:pPr>
      <w:r w:rsidDel="00000000" w:rsidR="00000000" w:rsidRPr="00000000">
        <w:rPr>
          <w:rtl w:val="0"/>
        </w:rPr>
        <w:t xml:space="preserve">Pokud Správce internetové stránky nemá, je potřeba, aby informace zveřejnil jiným způsobem, který bude pro Subjekty údajů snadno přístupný.</w:t>
      </w:r>
    </w:p>
    <w:p w:rsidR="00000000" w:rsidDel="00000000" w:rsidP="00000000" w:rsidRDefault="00000000" w:rsidRPr="00000000" w14:paraId="00000006">
      <w:pPr>
        <w:pStyle w:val="Heading1"/>
        <w:contextualSpacing w:val="0"/>
        <w:rPr/>
      </w:pPr>
      <w:bookmarkStart w:colFirst="0" w:colLast="0" w:name="_phfxq1u093f" w:id="3"/>
      <w:bookmarkEnd w:id="3"/>
      <w:r w:rsidDel="00000000" w:rsidR="00000000" w:rsidRPr="00000000">
        <w:rPr>
          <w:rtl w:val="0"/>
        </w:rPr>
        <w:t xml:space="preserve">Přijetí osobních údajů od Subjektu údajů</w:t>
      </w:r>
    </w:p>
    <w:p w:rsidR="00000000" w:rsidDel="00000000" w:rsidP="00000000" w:rsidRDefault="00000000" w:rsidRPr="00000000" w14:paraId="00000007">
      <w:pPr>
        <w:contextualSpacing w:val="0"/>
        <w:rPr/>
      </w:pPr>
      <w:r w:rsidDel="00000000" w:rsidR="00000000" w:rsidRPr="00000000">
        <w:rPr>
          <w:rtl w:val="0"/>
        </w:rPr>
        <w:t xml:space="preserve">Ve chvíli, kdy Správce přijímá osobní údaje od subjektu údajů, je třeba, aby nejdříve zjistil, zda k jejich zpracování nepotřebuje souhlas. Dále musí Správce v okamžiku získání osobních údajů poskytnout Subjektu údajů následující informace:</w:t>
      </w:r>
    </w:p>
    <w:p w:rsidR="00000000" w:rsidDel="00000000" w:rsidP="00000000" w:rsidRDefault="00000000" w:rsidRPr="00000000" w14:paraId="00000008">
      <w:pPr>
        <w:numPr>
          <w:ilvl w:val="0"/>
          <w:numId w:val="1"/>
        </w:numPr>
        <w:ind w:left="720" w:hanging="360"/>
        <w:contextualSpacing w:val="1"/>
        <w:rPr>
          <w:u w:val="none"/>
        </w:rPr>
      </w:pPr>
      <w:r w:rsidDel="00000000" w:rsidR="00000000" w:rsidRPr="00000000">
        <w:rPr>
          <w:rtl w:val="0"/>
        </w:rPr>
        <w:t xml:space="preserve">totožnost a kontaktní údaje Správce a jeho případného zástupce;</w:t>
      </w:r>
    </w:p>
    <w:p w:rsidR="00000000" w:rsidDel="00000000" w:rsidP="00000000" w:rsidRDefault="00000000" w:rsidRPr="00000000" w14:paraId="00000009">
      <w:pPr>
        <w:numPr>
          <w:ilvl w:val="0"/>
          <w:numId w:val="1"/>
        </w:numPr>
        <w:ind w:left="720" w:hanging="360"/>
        <w:contextualSpacing w:val="1"/>
        <w:rPr>
          <w:u w:val="none"/>
        </w:rPr>
      </w:pPr>
      <w:r w:rsidDel="00000000" w:rsidR="00000000" w:rsidRPr="00000000">
        <w:rPr>
          <w:rtl w:val="0"/>
        </w:rPr>
        <w:t xml:space="preserve">případně kontaktní údaje DPO;</w:t>
      </w:r>
    </w:p>
    <w:p w:rsidR="00000000" w:rsidDel="00000000" w:rsidP="00000000" w:rsidRDefault="00000000" w:rsidRPr="00000000" w14:paraId="0000000A">
      <w:pPr>
        <w:numPr>
          <w:ilvl w:val="0"/>
          <w:numId w:val="1"/>
        </w:numPr>
        <w:ind w:left="720" w:hanging="360"/>
        <w:contextualSpacing w:val="1"/>
        <w:rPr>
          <w:u w:val="none"/>
        </w:rPr>
      </w:pPr>
      <w:r w:rsidDel="00000000" w:rsidR="00000000" w:rsidRPr="00000000">
        <w:rPr>
          <w:rtl w:val="0"/>
        </w:rPr>
        <w:t xml:space="preserve">účely zpracování, pro které jsou OÚ určeny, a právní základ pro zpracování;</w:t>
      </w:r>
    </w:p>
    <w:p w:rsidR="00000000" w:rsidDel="00000000" w:rsidP="00000000" w:rsidRDefault="00000000" w:rsidRPr="00000000" w14:paraId="0000000B">
      <w:pPr>
        <w:numPr>
          <w:ilvl w:val="0"/>
          <w:numId w:val="1"/>
        </w:numPr>
        <w:ind w:left="720" w:hanging="360"/>
        <w:contextualSpacing w:val="1"/>
        <w:rPr>
          <w:u w:val="none"/>
        </w:rPr>
      </w:pPr>
      <w:r w:rsidDel="00000000" w:rsidR="00000000" w:rsidRPr="00000000">
        <w:rPr>
          <w:rtl w:val="0"/>
        </w:rPr>
        <w:t xml:space="preserve">oprávněné zájmy Správce nebo třetí strany v případě, že je zpracování nezbytné pro účely oprávněných zájmů Správce nebo třetí strany];</w:t>
      </w:r>
    </w:p>
    <w:p w:rsidR="00000000" w:rsidDel="00000000" w:rsidP="00000000" w:rsidRDefault="00000000" w:rsidRPr="00000000" w14:paraId="0000000C">
      <w:pPr>
        <w:numPr>
          <w:ilvl w:val="0"/>
          <w:numId w:val="1"/>
        </w:numPr>
        <w:ind w:left="720" w:hanging="360"/>
        <w:contextualSpacing w:val="1"/>
        <w:rPr>
          <w:u w:val="none"/>
        </w:rPr>
      </w:pPr>
      <w:r w:rsidDel="00000000" w:rsidR="00000000" w:rsidRPr="00000000">
        <w:rPr>
          <w:rtl w:val="0"/>
        </w:rPr>
        <w:t xml:space="preserve">případné příjemce nebo kategorie příjemců OÚ;</w:t>
      </w:r>
    </w:p>
    <w:p w:rsidR="00000000" w:rsidDel="00000000" w:rsidP="00000000" w:rsidRDefault="00000000" w:rsidRPr="00000000" w14:paraId="0000000D">
      <w:pPr>
        <w:numPr>
          <w:ilvl w:val="0"/>
          <w:numId w:val="1"/>
        </w:numPr>
        <w:ind w:left="720" w:hanging="360"/>
        <w:contextualSpacing w:val="1"/>
        <w:rPr>
          <w:u w:val="none"/>
        </w:rPr>
      </w:pPr>
      <w:r w:rsidDel="00000000" w:rsidR="00000000" w:rsidRPr="00000000">
        <w:rPr>
          <w:rtl w:val="0"/>
        </w:rPr>
        <w:t xml:space="preserve">případný úmysl Správce předat OÚ do třetí země nebo mezinárodní organizaci a existenci či neexistenci rozhodnutí Komise o odpovídající ochraně nebo odkaz na vhodné záruky a prostředky k získání kopie těchto údajů nebo informace o tom, kde byly tyto údaje zpřístupněny.</w:t>
      </w:r>
    </w:p>
    <w:p w:rsidR="00000000" w:rsidDel="00000000" w:rsidP="00000000" w:rsidRDefault="00000000" w:rsidRPr="00000000" w14:paraId="0000000E">
      <w:pPr>
        <w:contextualSpacing w:val="0"/>
        <w:rPr/>
      </w:pPr>
      <w:r w:rsidDel="00000000" w:rsidR="00000000" w:rsidRPr="00000000">
        <w:rPr>
          <w:rtl w:val="0"/>
        </w:rPr>
        <w:t xml:space="preserve">V případě, že je to nezbytné pro zajištění spravedlivého a transparentního zpracování, poskytne Správce Subjektu údajů rovněž informace o:</w:t>
      </w:r>
    </w:p>
    <w:p w:rsidR="00000000" w:rsidDel="00000000" w:rsidP="00000000" w:rsidRDefault="00000000" w:rsidRPr="00000000" w14:paraId="0000000F">
      <w:pPr>
        <w:numPr>
          <w:ilvl w:val="0"/>
          <w:numId w:val="3"/>
        </w:numPr>
        <w:ind w:left="720" w:hanging="360"/>
        <w:contextualSpacing w:val="1"/>
        <w:rPr>
          <w:u w:val="none"/>
        </w:rPr>
      </w:pPr>
      <w:r w:rsidDel="00000000" w:rsidR="00000000" w:rsidRPr="00000000">
        <w:rPr>
          <w:rtl w:val="0"/>
        </w:rPr>
        <w:t xml:space="preserve">době, po kterou budou OÚ uloženy, nebo není-li ji možné určit, o kritériích použitý pro stanovení této doby;</w:t>
      </w:r>
    </w:p>
    <w:p w:rsidR="00000000" w:rsidDel="00000000" w:rsidP="00000000" w:rsidRDefault="00000000" w:rsidRPr="00000000" w14:paraId="00000010">
      <w:pPr>
        <w:numPr>
          <w:ilvl w:val="0"/>
          <w:numId w:val="3"/>
        </w:numPr>
        <w:ind w:left="720" w:hanging="360"/>
        <w:contextualSpacing w:val="1"/>
        <w:rPr>
          <w:u w:val="none"/>
        </w:rPr>
      </w:pPr>
      <w:r w:rsidDel="00000000" w:rsidR="00000000" w:rsidRPr="00000000">
        <w:rPr>
          <w:rtl w:val="0"/>
        </w:rPr>
        <w:t xml:space="preserve">existenci práva požadovat od Správce přístup k OÚ týkajícím se Subjektu údajů, jejich opravu nebo výmaz, popřípadě omezení zpracování, a vznést námitku proti zpracování, jakož i práva na přenositelnost OÚ;</w:t>
      </w:r>
    </w:p>
    <w:p w:rsidR="00000000" w:rsidDel="00000000" w:rsidP="00000000" w:rsidRDefault="00000000" w:rsidRPr="00000000" w14:paraId="00000011">
      <w:pPr>
        <w:numPr>
          <w:ilvl w:val="0"/>
          <w:numId w:val="3"/>
        </w:numPr>
        <w:ind w:left="720" w:hanging="360"/>
        <w:contextualSpacing w:val="1"/>
        <w:rPr>
          <w:u w:val="none"/>
        </w:rPr>
      </w:pPr>
      <w:r w:rsidDel="00000000" w:rsidR="00000000" w:rsidRPr="00000000">
        <w:rPr>
          <w:rtl w:val="0"/>
        </w:rPr>
        <w:t xml:space="preserve">skutečnosti, že pokud je zpracování založeno na souhlasu Subjektu údajů, existenci práva odvolat kdykoli souhlas, aniž je tím dotčena zákonnost zpracování založená na souhlasu uděleném před jeho odvoláním;</w:t>
      </w:r>
    </w:p>
    <w:p w:rsidR="00000000" w:rsidDel="00000000" w:rsidP="00000000" w:rsidRDefault="00000000" w:rsidRPr="00000000" w14:paraId="00000012">
      <w:pPr>
        <w:numPr>
          <w:ilvl w:val="0"/>
          <w:numId w:val="3"/>
        </w:numPr>
        <w:ind w:left="720" w:hanging="360"/>
        <w:contextualSpacing w:val="1"/>
        <w:rPr>
          <w:u w:val="none"/>
        </w:rPr>
      </w:pPr>
      <w:r w:rsidDel="00000000" w:rsidR="00000000" w:rsidRPr="00000000">
        <w:rPr>
          <w:rtl w:val="0"/>
        </w:rPr>
        <w:t xml:space="preserve">existenci práva podat stížnost u ÚOOÚ;</w:t>
      </w:r>
    </w:p>
    <w:p w:rsidR="00000000" w:rsidDel="00000000" w:rsidP="00000000" w:rsidRDefault="00000000" w:rsidRPr="00000000" w14:paraId="00000013">
      <w:pPr>
        <w:numPr>
          <w:ilvl w:val="0"/>
          <w:numId w:val="3"/>
        </w:numPr>
        <w:ind w:left="720" w:hanging="360"/>
        <w:contextualSpacing w:val="1"/>
        <w:rPr>
          <w:u w:val="none"/>
        </w:rPr>
      </w:pPr>
      <w:r w:rsidDel="00000000" w:rsidR="00000000" w:rsidRPr="00000000">
        <w:rPr>
          <w:rtl w:val="0"/>
        </w:rPr>
        <w:t xml:space="preserve">skutečnosti, zda poskytování OÚ je zákonným či smluvním požadavkem, nebo požadavkem, který je nutné uvést do smlouvy, a zda má Subjekt údajů povinnost OÚ poskytnout, a ohledně možných důsledků neposkytnutí těchto údajů;</w:t>
      </w:r>
    </w:p>
    <w:p w:rsidR="00000000" w:rsidDel="00000000" w:rsidP="00000000" w:rsidRDefault="00000000" w:rsidRPr="00000000" w14:paraId="00000014">
      <w:pPr>
        <w:numPr>
          <w:ilvl w:val="0"/>
          <w:numId w:val="3"/>
        </w:numPr>
        <w:ind w:left="720" w:hanging="360"/>
        <w:contextualSpacing w:val="1"/>
        <w:rPr>
          <w:u w:val="none"/>
        </w:rPr>
      </w:pPr>
      <w:r w:rsidDel="00000000" w:rsidR="00000000" w:rsidRPr="00000000">
        <w:rPr>
          <w:rtl w:val="0"/>
        </w:rPr>
        <w:t xml:space="preserve">skutečnosti, že dochází k automatizovanému rozhodování, včetně profilování, a přinejmenším v těchto případech podat smysluplné informace týkající se použitého postupu, jakož i významu a předpokládaných důsledků takového zpracování pro Subjekt údajů.</w:t>
      </w:r>
    </w:p>
    <w:p w:rsidR="00000000" w:rsidDel="00000000" w:rsidP="00000000" w:rsidRDefault="00000000" w:rsidRPr="00000000" w14:paraId="00000015">
      <w:pPr>
        <w:contextualSpacing w:val="0"/>
        <w:rPr/>
      </w:pPr>
      <w:r w:rsidDel="00000000" w:rsidR="00000000" w:rsidRPr="00000000">
        <w:rPr>
          <w:rtl w:val="0"/>
        </w:rPr>
        <w:t xml:space="preserve">V případě, že Subjekt údajů již uvedené informace má, není třeba mu je poskytovat znovu.</w:t>
      </w:r>
    </w:p>
    <w:p w:rsidR="00000000" w:rsidDel="00000000" w:rsidP="00000000" w:rsidRDefault="00000000" w:rsidRPr="00000000" w14:paraId="00000016">
      <w:pPr>
        <w:pStyle w:val="Heading1"/>
        <w:contextualSpacing w:val="0"/>
        <w:rPr/>
      </w:pPr>
      <w:bookmarkStart w:colFirst="0" w:colLast="0" w:name="_rp9ahunm5ll" w:id="4"/>
      <w:bookmarkEnd w:id="4"/>
      <w:r w:rsidDel="00000000" w:rsidR="00000000" w:rsidRPr="00000000">
        <w:rPr>
          <w:rtl w:val="0"/>
        </w:rPr>
        <w:t xml:space="preserve">Informování Subjektu údajů o získání jeho osobních údajů od třetí osoby</w:t>
      </w:r>
    </w:p>
    <w:p w:rsidR="00000000" w:rsidDel="00000000" w:rsidP="00000000" w:rsidRDefault="00000000" w:rsidRPr="00000000" w14:paraId="00000017">
      <w:pPr>
        <w:contextualSpacing w:val="0"/>
        <w:rPr/>
      </w:pPr>
      <w:r w:rsidDel="00000000" w:rsidR="00000000" w:rsidRPr="00000000">
        <w:rPr>
          <w:rtl w:val="0"/>
        </w:rPr>
        <w:t xml:space="preserve">Získá-li Správce osobní údaje od někoho jiného, než od jejich subjektu, nemá Subjekt údajů možnost tuto skutečnost sám zjistit. Správce je tedy povinen mu při přijetí takovýchto osobních údajů sdělit téměř stejné informace, jako v případě, že by osobní údaje získal přímo od něj. Informace musí být Subjektu údajů poskytnuty nejpozději do 1 měsíce od jejich získání, při první komunikaci s ním, případně ve chvíli, kdy je poprvé zpřístupní jinému příjemci – záleží, která z těchto situací nastane dříve.</w:t>
      </w:r>
    </w:p>
    <w:p w:rsidR="00000000" w:rsidDel="00000000" w:rsidP="00000000" w:rsidRDefault="00000000" w:rsidRPr="00000000" w14:paraId="00000018">
      <w:pPr>
        <w:contextualSpacing w:val="0"/>
        <w:rPr/>
      </w:pPr>
      <w:r w:rsidDel="00000000" w:rsidR="00000000" w:rsidRPr="00000000">
        <w:rPr>
          <w:rtl w:val="0"/>
        </w:rPr>
        <w:t xml:space="preserve">Existují výjimky, kdy Správce tuto povinnost nemá, a to v případě, že:</w:t>
      </w:r>
    </w:p>
    <w:p w:rsidR="00000000" w:rsidDel="00000000" w:rsidP="00000000" w:rsidRDefault="00000000" w:rsidRPr="00000000" w14:paraId="00000019">
      <w:pPr>
        <w:numPr>
          <w:ilvl w:val="0"/>
          <w:numId w:val="2"/>
        </w:numPr>
        <w:ind w:left="720" w:hanging="360"/>
        <w:contextualSpacing w:val="1"/>
        <w:rPr>
          <w:u w:val="none"/>
        </w:rPr>
      </w:pPr>
      <w:r w:rsidDel="00000000" w:rsidR="00000000" w:rsidRPr="00000000">
        <w:rPr>
          <w:rtl w:val="0"/>
        </w:rPr>
        <w:t xml:space="preserve">Subjekt údajů již uvedené informace má;</w:t>
      </w:r>
    </w:p>
    <w:p w:rsidR="00000000" w:rsidDel="00000000" w:rsidP="00000000" w:rsidRDefault="00000000" w:rsidRPr="00000000" w14:paraId="0000001A">
      <w:pPr>
        <w:numPr>
          <w:ilvl w:val="0"/>
          <w:numId w:val="2"/>
        </w:numPr>
        <w:ind w:left="720" w:hanging="360"/>
        <w:contextualSpacing w:val="1"/>
        <w:rPr>
          <w:u w:val="none"/>
        </w:rPr>
      </w:pPr>
      <w:r w:rsidDel="00000000" w:rsidR="00000000" w:rsidRPr="00000000">
        <w:rPr>
          <w:rtl w:val="0"/>
        </w:rPr>
        <w:t xml:space="preserve">se ukáže, že poskytnutí takových informací není možné nebo by vyžadovalo nepřiměřené úsilí; to platí zejména v případě zpracování pro účely archivace ve veřejném zájmu, pro účely vědeckého či historického výzkumu nebo pro statistické účely s výhradou podmínek a záruk uvedených v čl. 89 odst. 1, nebo pokud je pravděpodobné, že uplatnění informační povinnosti by znemožnilo nebo výrazně ztížilo dosažení cílů uvedeného zpracování. V takových případech přijme Správce vhodná opatření na ochranu práv, svobod a oprávněných zájmů Subjektu údajů, včetně zpřístupnění daných informací veřejnosti;</w:t>
      </w:r>
    </w:p>
    <w:p w:rsidR="00000000" w:rsidDel="00000000" w:rsidP="00000000" w:rsidRDefault="00000000" w:rsidRPr="00000000" w14:paraId="0000001B">
      <w:pPr>
        <w:numPr>
          <w:ilvl w:val="0"/>
          <w:numId w:val="2"/>
        </w:numPr>
        <w:ind w:left="720" w:hanging="360"/>
        <w:contextualSpacing w:val="1"/>
        <w:rPr>
          <w:u w:val="none"/>
        </w:rPr>
      </w:pPr>
      <w:r w:rsidDel="00000000" w:rsidR="00000000" w:rsidRPr="00000000">
        <w:rPr>
          <w:rtl w:val="0"/>
        </w:rPr>
        <w:t xml:space="preserve">je získávání nebo zpřístupnění výslovně stanoveno právem Evropské unie nebo členského státu, které se na Správce vztahuje a v němž jsou stanovena vhodná opatření na ochranu oprávněných zájmů Subjektu údajů; nebo • OÚ musí zůstat důvěrné s ohledem na povinnost zachovávat služební tajemství upravenou právem Evropské unie nebo členského státu, včetně zákonné povinnosti mlčenlivosti.</w:t>
      </w:r>
    </w:p>
    <w:p w:rsidR="00000000" w:rsidDel="00000000" w:rsidP="00000000" w:rsidRDefault="00000000" w:rsidRPr="00000000" w14:paraId="0000001C">
      <w:pPr>
        <w:pStyle w:val="Heading1"/>
        <w:contextualSpacing w:val="0"/>
        <w:rPr/>
      </w:pPr>
      <w:bookmarkStart w:colFirst="0" w:colLast="0" w:name="_nvx30bxvp10o" w:id="5"/>
      <w:bookmarkEnd w:id="5"/>
      <w:r w:rsidDel="00000000" w:rsidR="00000000" w:rsidRPr="00000000">
        <w:rPr>
          <w:rtl w:val="0"/>
        </w:rPr>
        <w:t xml:space="preserve">Poskytnutí informací souvisejících s výkonem práv Subjektu údajů</w:t>
      </w:r>
    </w:p>
    <w:p w:rsidR="00000000" w:rsidDel="00000000" w:rsidP="00000000" w:rsidRDefault="00000000" w:rsidRPr="00000000" w14:paraId="0000001D">
      <w:pPr>
        <w:contextualSpacing w:val="0"/>
        <w:rPr/>
      </w:pPr>
      <w:r w:rsidDel="00000000" w:rsidR="00000000" w:rsidRPr="00000000">
        <w:rPr>
          <w:rtl w:val="0"/>
        </w:rPr>
        <w:t xml:space="preserve">Během zpracovávání osobních údajů Správcem může nastat několik situací, kdy je potřeba poskytnout Subjektu údajů informace. Předně to je případ, kdy chce Správce osobních údajů dále zpracovávat k jiným účelům, než pro nějž byly získány, o čemž musí předem Subjekt údajů informovat a v souvislosti s novým účelem zpracování mu poskytnout i další informace, jako při získání osobních údajů.</w:t>
      </w:r>
    </w:p>
    <w:p w:rsidR="00000000" w:rsidDel="00000000" w:rsidP="00000000" w:rsidRDefault="00000000" w:rsidRPr="00000000" w14:paraId="0000001E">
      <w:pPr>
        <w:contextualSpacing w:val="0"/>
        <w:rPr/>
      </w:pPr>
      <w:r w:rsidDel="00000000" w:rsidR="00000000" w:rsidRPr="00000000">
        <w:rPr>
          <w:rtl w:val="0"/>
        </w:rPr>
        <w:t xml:space="preserve">Dále GDPR předepisuje zpřístupňování určitých informací v případě, že se Subjekt údajů rozhodne využít svá práva, která mu nařízení přiznává, viz postupy pro jednotlivá práva.</w:t>
      </w:r>
    </w:p>
    <w:p w:rsidR="00000000" w:rsidDel="00000000" w:rsidP="00000000" w:rsidRDefault="00000000" w:rsidRPr="00000000" w14:paraId="0000001F">
      <w:pPr>
        <w:pStyle w:val="Heading1"/>
        <w:contextualSpacing w:val="0"/>
        <w:rPr>
          <w:color w:val="980000"/>
        </w:rPr>
      </w:pPr>
      <w:bookmarkStart w:colFirst="0" w:colLast="0" w:name="_u9h1mf5i8j86" w:id="6"/>
      <w:bookmarkEnd w:id="6"/>
      <w:r w:rsidDel="00000000" w:rsidR="00000000" w:rsidRPr="00000000">
        <w:rPr>
          <w:color w:val="980000"/>
          <w:rtl w:val="0"/>
        </w:rPr>
        <w:t xml:space="preserve">Splnění informační povinnosti vůči Subjektům údajů</w:t>
      </w:r>
    </w:p>
    <w:p w:rsidR="00000000" w:rsidDel="00000000" w:rsidP="00000000" w:rsidRDefault="00000000" w:rsidRPr="00000000" w14:paraId="00000020">
      <w:pPr>
        <w:contextualSpacing w:val="0"/>
        <w:rPr>
          <w:color w:val="980000"/>
        </w:rPr>
      </w:pPr>
      <w:r w:rsidDel="00000000" w:rsidR="00000000" w:rsidRPr="00000000">
        <w:rPr>
          <w:color w:val="980000"/>
          <w:rtl w:val="0"/>
        </w:rPr>
        <w:t xml:space="preserve">Plnění všech informačních povinností vůči dotčeným Subjektům údajů je jedním z klíčových úkolů při implementaci GDPR. Je možné předpokládat, že na plnění těchto povinností se bude rovněž zaměřovat ÚOOÚ při svých kontrolách.</w:t>
      </w:r>
    </w:p>
    <w:p w:rsidR="00000000" w:rsidDel="00000000" w:rsidP="00000000" w:rsidRDefault="00000000" w:rsidRPr="00000000" w14:paraId="00000021">
      <w:pPr>
        <w:pStyle w:val="Heading1"/>
        <w:contextualSpacing w:val="0"/>
        <w:rPr/>
      </w:pPr>
      <w:bookmarkStart w:colFirst="0" w:colLast="0" w:name="_odd9alj7k3dy" w:id="7"/>
      <w:bookmarkEnd w:id="7"/>
      <w:r w:rsidDel="00000000" w:rsidR="00000000" w:rsidRPr="00000000">
        <w:rPr>
          <w:rtl w:val="0"/>
        </w:rPr>
        <w:t xml:space="preserve">Získání informací o Správci z jeho internetových stránek</w:t>
      </w:r>
    </w:p>
    <w:p w:rsidR="00000000" w:rsidDel="00000000" w:rsidP="00000000" w:rsidRDefault="00000000" w:rsidRPr="00000000" w14:paraId="00000022">
      <w:pPr>
        <w:contextualSpacing w:val="0"/>
        <w:rPr/>
      </w:pPr>
      <w:r w:rsidDel="00000000" w:rsidR="00000000" w:rsidRPr="00000000">
        <w:rPr>
          <w:rtl w:val="0"/>
        </w:rPr>
        <w:t xml:space="preserve">Správce má povinnost co nejvíce usnadnit Subjektům údajů získání informací o sobě a o tom, kde Subjekt údajů nalezne informace a poučení, týkající se zpracování jeho osobních údajů ze strany</w:t>
      </w:r>
    </w:p>
    <w:p w:rsidR="00000000" w:rsidDel="00000000" w:rsidP="00000000" w:rsidRDefault="00000000" w:rsidRPr="00000000" w14:paraId="00000023">
      <w:pPr>
        <w:contextualSpacing w:val="0"/>
        <w:rPr/>
      </w:pPr>
      <w:r w:rsidDel="00000000" w:rsidR="00000000" w:rsidRPr="00000000">
        <w:rPr>
          <w:rtl w:val="0"/>
        </w:rPr>
        <w:t xml:space="preserve">Správce. Vhodným řešením může být např. dedikovaná stránka na webu Správce pro účely GDPR. V případě, že Správce má internetové stránky, je dobré zpřístupnit povinně poskytované</w:t>
      </w:r>
    </w:p>
    <w:p w:rsidR="00000000" w:rsidDel="00000000" w:rsidP="00000000" w:rsidRDefault="00000000" w:rsidRPr="00000000" w14:paraId="00000024">
      <w:pPr>
        <w:contextualSpacing w:val="0"/>
        <w:rPr/>
      </w:pPr>
      <w:r w:rsidDel="00000000" w:rsidR="00000000" w:rsidRPr="00000000">
        <w:rPr>
          <w:rtl w:val="0"/>
        </w:rPr>
        <w:t xml:space="preserve">informace zde, a to tak, aby je mohl Subjekt údajů snadno vyhledat, aby byly odlišeny od</w:t>
      </w:r>
    </w:p>
    <w:p w:rsidR="00000000" w:rsidDel="00000000" w:rsidP="00000000" w:rsidRDefault="00000000" w:rsidRPr="00000000" w14:paraId="00000025">
      <w:pPr>
        <w:contextualSpacing w:val="0"/>
        <w:rPr/>
      </w:pPr>
      <w:r w:rsidDel="00000000" w:rsidR="00000000" w:rsidRPr="00000000">
        <w:rPr>
          <w:rtl w:val="0"/>
        </w:rPr>
        <w:t xml:space="preserve">ostatních informací, a aby byly srozumitelné. Pokud Správce internetové stránky nemá, je</w:t>
      </w:r>
    </w:p>
    <w:p w:rsidR="00000000" w:rsidDel="00000000" w:rsidP="00000000" w:rsidRDefault="00000000" w:rsidRPr="00000000" w14:paraId="00000026">
      <w:pPr>
        <w:contextualSpacing w:val="0"/>
        <w:rPr/>
      </w:pPr>
      <w:r w:rsidDel="00000000" w:rsidR="00000000" w:rsidRPr="00000000">
        <w:rPr>
          <w:rtl w:val="0"/>
        </w:rPr>
        <w:t xml:space="preserve">potřeba, aby informace zveřejnil jiným způsobem, který bude pro Subjekty údajů snadno přístupný.</w:t>
      </w:r>
    </w:p>
    <w:p w:rsidR="00000000" w:rsidDel="00000000" w:rsidP="00000000" w:rsidRDefault="00000000" w:rsidRPr="00000000" w14:paraId="00000027">
      <w:pPr>
        <w:pStyle w:val="Heading1"/>
        <w:contextualSpacing w:val="0"/>
        <w:rPr/>
      </w:pPr>
      <w:bookmarkStart w:colFirst="0" w:colLast="0" w:name="_7ey2y6rnj8ub" w:id="8"/>
      <w:bookmarkEnd w:id="8"/>
      <w:r w:rsidDel="00000000" w:rsidR="00000000" w:rsidRPr="00000000">
        <w:rPr>
          <w:rtl w:val="0"/>
        </w:rPr>
        <w:t xml:space="preserve">Nakládání s poskytnutými informacemi</w:t>
      </w:r>
    </w:p>
    <w:p w:rsidR="00000000" w:rsidDel="00000000" w:rsidP="00000000" w:rsidRDefault="00000000" w:rsidRPr="00000000" w14:paraId="00000028">
      <w:pPr>
        <w:contextualSpacing w:val="0"/>
        <w:rPr/>
      </w:pPr>
      <w:r w:rsidDel="00000000" w:rsidR="00000000" w:rsidRPr="00000000">
        <w:rPr>
          <w:rtl w:val="0"/>
        </w:rPr>
        <w:t xml:space="preserve">Předávající Správce by měl dotčené Subjekty údajů, kterým předává informace v rámci plnění svých informačních povinností, poučit o tom, že není odpovědný za další nakládání s předanými informacemi a že je na Subjektu údajů zajistit bezpečnost těchto dat.</w:t>
      </w:r>
    </w:p>
    <w:sectPr>
      <w:pgSz w:h="16838" w:w="11906"/>
      <w:pgMar w:bottom="1360.6299212598426" w:top="1360.6299212598426" w:left="1360.6299212598426" w:right="1360.6299212598426"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434343"/>
        <w:sz w:val="22"/>
        <w:szCs w:val="22"/>
        <w:lang w:val="c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b w:val="1"/>
      <w:color w:val="000000"/>
      <w:sz w:val="28"/>
      <w:szCs w:val="28"/>
    </w:rPr>
  </w:style>
  <w:style w:type="paragraph" w:styleId="Heading2">
    <w:name w:val="heading 2"/>
    <w:basedOn w:val="Normal"/>
    <w:next w:val="Normal"/>
    <w:pPr>
      <w:keepNext w:val="1"/>
      <w:keepLines w:val="1"/>
      <w:spacing w:after="120" w:before="360" w:lineRule="auto"/>
    </w:pPr>
    <w:rPr>
      <w:b w:val="1"/>
      <w:color w:val="000000"/>
      <w:sz w:val="26"/>
      <w:szCs w:val="26"/>
    </w:rPr>
  </w:style>
  <w:style w:type="paragraph" w:styleId="Heading3">
    <w:name w:val="heading 3"/>
    <w:basedOn w:val="Normal"/>
    <w:next w:val="Normal"/>
    <w:pPr>
      <w:keepNext w:val="1"/>
      <w:keepLines w:val="1"/>
      <w:spacing w:after="80" w:before="320" w:lineRule="auto"/>
    </w:pPr>
    <w:rPr>
      <w:b w:val="1"/>
      <w:sz w:val="24"/>
      <w:szCs w:val="24"/>
    </w:rPr>
  </w:style>
  <w:style w:type="paragraph" w:styleId="Heading4">
    <w:name w:val="heading 4"/>
    <w:basedOn w:val="Normal"/>
    <w:next w:val="Normal"/>
    <w:pPr>
      <w:keepNext w:val="1"/>
      <w:keepLines w:val="1"/>
      <w:spacing w:after="80" w:before="280" w:lineRule="auto"/>
    </w:pPr>
    <w:rPr>
      <w:b w:val="1"/>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b w:val="1"/>
      <w:color w:val="666666"/>
      <w:sz w:val="48"/>
      <w:szCs w:val="48"/>
    </w:rPr>
  </w:style>
  <w:style w:type="paragraph" w:styleId="Subtitle">
    <w:name w:val="Subtitle"/>
    <w:basedOn w:val="Normal"/>
    <w:next w:val="Normal"/>
    <w:pPr>
      <w:keepNext w:val="1"/>
      <w:keepLines w:val="1"/>
      <w:spacing w:after="320" w:before="200" w:lineRule="auto"/>
    </w:pPr>
    <w:rPr>
      <w:b w:val="1"/>
      <w:color w:val="666666"/>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