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Sociální agendy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/>
                <w:bCs/>
                <w:lang w:eastAsia="cs-CZ"/>
              </w:rPr>
              <w:t>Právní povinnost – Sociální agendy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108/2006 Sb., - Zákon o sociálních službách,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111/2006 Sb., - Zákon o pomoci v hmotné nouzi,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110/2006 Sb., - Zákon o životním a existenčním minimu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rodné číslo, trvalé bydliště, e-mail, telefon, datová schránka, místo pobytu, průkaz totožnosti, zaměstnavatel, bankovní spojení, výměry důchodů, kopie průkazu ZTP, TP, podpis, spis klienta, údaje o zdravotním stavu,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Sociální péče V10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154</Words>
  <Characters>926</Characters>
  <CharactersWithSpaces>1065</CharactersWithSpaces>
  <Paragraphs>18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2018-05-27T19:59:24Z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