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Veřejné zakázky a výběrová řízení na dodavatele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 xml:space="preserve">Zajištění potřebné přípravy, dokumentace, soutěží pro rozhodování o jednotlivých projektech. 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134/2016 Sb., - Zákon o zadávání veřejných zakázek,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zákoník,340/2015 Sb., - Zákon o zvláštních podmínkách účinnosti některých smluv, uveřejňování těchto smluv a o registru smluv (zákon o registru smluv)</w:t>
            </w:r>
            <w:r>
              <w:rPr>
                <w:rFonts w:cs="Arial"/>
              </w:rPr>
              <w:t xml:space="preserve"> 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dodavatelé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trvalé bydliště, e-mail, telefon, datová schránka, insolvence, podpis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Výběrové komisi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zaměstnanci úřadu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91 Veřejné zakázky, výběrové řízení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91.1 Veřejné zakázky  V/10  1)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91.2 Výběrové řízení   V/10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1) Skartační lhůta začíná plynout dnem 1. ledna roku následujícího po ukončení platnosti dokumentu, u smluv po uplynutí doby platnosti smlouvy či po jejím ukončení, zrušení nebo zániku.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Šanon v kanceláři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Zaheslované PC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LibreOffice/6.0.3.2$Windows_X86_64 LibreOffice_project/8f48d515416608e3a835360314dac7e47fd0b821</Application>
  <Pages>1</Pages>
  <Words>191</Words>
  <Characters>1186</Characters>
  <CharactersWithSpaces>1364</CharactersWithSpaces>
  <Paragraphs>23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2018-05-27T20:37:04Z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