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Vidimace, legalizace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Zajištění vidimace a legalizace – ověřování kopií listin a ověřování podpisů.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Style w:val="H1a6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2"/>
                <w:u w:val="none"/>
                <w:em w:val="none"/>
              </w:rPr>
              <w:t>21/2006 Sb., - Z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ákon o ověřování,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36/2006 Sb., - Vyhláška o ověřování shody opisu nebo kopie s listinou a o ověřování pravosti podpisu,</w:t>
            </w:r>
          </w:p>
          <w:p>
            <w:pPr>
              <w:pStyle w:val="Normal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634/2004 Sb., - Zákon o správních poplatcích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klienti (žadatelé)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datum narození, rodné číslo, místo narození, trvalé bydliště, číslo dokladu totožnosti, podpis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Kontrolní orgány (krajský úřad, MV ČR)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Vidimace, legalizace - ověřovací kniha   S10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Ověřovací kniha, následně spisovna a oblastní archiv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H1a6">
    <w:name w:val="h1a6"/>
    <w:basedOn w:val="DefaultParagraphFont"/>
    <w:qFormat/>
    <w:rPr>
      <w:rFonts w:ascii="Arial" w:hAnsi="Arial" w:cs="Arial"/>
      <w:i/>
      <w:iCs/>
      <w:vanish w:val="false"/>
      <w:sz w:val="26"/>
      <w:szCs w:val="26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153</Words>
  <Characters>936</Characters>
  <CharactersWithSpaces>1075</CharactersWithSpaces>
  <Paragraphs>19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2018-05-27T20:38:38Z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